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3B49AA" w:rsidRDefault="003B49AA">
      <w:pPr>
        <w:outlineLvl w:val="0"/>
        <w:rPr>
          <w:rFonts w:ascii="Arial" w:hAnsi="Arial"/>
          <w:b/>
          <w:bCs/>
        </w:rPr>
      </w:pPr>
    </w:p>
    <w:p w:rsidR="003B49AA" w:rsidRDefault="0099525E">
      <w:pPr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COMUNICATO STAMPA</w:t>
      </w:r>
    </w:p>
    <w:p w:rsidR="003B49AA" w:rsidRDefault="0099525E">
      <w:pPr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Per pubblicazione immediata</w:t>
      </w:r>
    </w:p>
    <w:p w:rsidR="003B49AA" w:rsidRDefault="0099525E">
      <w:pPr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Vicenza</w:t>
      </w:r>
      <w:proofErr w:type="gramStart"/>
      <w:r>
        <w:rPr>
          <w:rFonts w:ascii="Times New Roman" w:hAnsi="Times New Roman"/>
          <w:b/>
          <w:bCs/>
          <w:sz w:val="20"/>
          <w:szCs w:val="20"/>
        </w:rPr>
        <w:t xml:space="preserve">  </w:t>
      </w:r>
      <w:proofErr w:type="gramEnd"/>
      <w:r>
        <w:rPr>
          <w:rFonts w:ascii="Times New Roman" w:hAnsi="Times New Roman"/>
          <w:b/>
          <w:bCs/>
          <w:sz w:val="20"/>
          <w:szCs w:val="20"/>
        </w:rPr>
        <w:t>25 febbraio 2019</w:t>
      </w:r>
    </w:p>
    <w:p w:rsidR="003B49AA" w:rsidRDefault="003B49AA">
      <w:pPr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B49AA" w:rsidRDefault="0099525E">
      <w:pPr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gramStart"/>
      <w:r>
        <w:rPr>
          <w:rFonts w:ascii="Times New Roman" w:hAnsi="Times New Roman"/>
          <w:b/>
          <w:bCs/>
          <w:sz w:val="20"/>
          <w:szCs w:val="20"/>
        </w:rPr>
        <w:t xml:space="preserve">ANNUNCIATO IL LANCIO DELL’UNDICESIMA EDIZIONE DEL PREMIO INTERNAZIONALE DEDALO MINOSSE ALLA COMMITTENZA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DI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ARCHITETTURA </w:t>
      </w:r>
      <w:proofErr w:type="gramEnd"/>
    </w:p>
    <w:p w:rsidR="003B49AA" w:rsidRDefault="003B49AA">
      <w:pPr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B49AA" w:rsidRDefault="0099525E">
      <w:pPr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 </w:t>
      </w:r>
      <w:proofErr w:type="gramStart"/>
      <w:r>
        <w:rPr>
          <w:rFonts w:ascii="Times New Roman" w:hAnsi="Times New Roman"/>
          <w:sz w:val="20"/>
          <w:szCs w:val="20"/>
        </w:rPr>
        <w:t>22</w:t>
      </w:r>
      <w:proofErr w:type="gramEnd"/>
      <w:r>
        <w:rPr>
          <w:rFonts w:ascii="Times New Roman" w:hAnsi="Times New Roman"/>
          <w:sz w:val="20"/>
          <w:szCs w:val="20"/>
        </w:rPr>
        <w:t xml:space="preserve"> anni dalla sua fondazione, </w:t>
      </w:r>
      <w:proofErr w:type="spellStart"/>
      <w:r>
        <w:rPr>
          <w:rFonts w:ascii="Times New Roman" w:hAnsi="Times New Roman"/>
          <w:sz w:val="20"/>
          <w:szCs w:val="20"/>
        </w:rPr>
        <w:t>ALA-Assoarchitetti</w:t>
      </w:r>
      <w:proofErr w:type="spellEnd"/>
      <w:r>
        <w:rPr>
          <w:rFonts w:ascii="Times New Roman" w:hAnsi="Times New Roman"/>
          <w:sz w:val="20"/>
          <w:szCs w:val="20"/>
        </w:rPr>
        <w:t xml:space="preserve"> lancia l’Undicesima Edizione del Premio Internazionale Dedalo Minosse alla Committenza di Architettura in collaborazione con la Regione Veneto.</w:t>
      </w:r>
    </w:p>
    <w:p w:rsidR="003B49AA" w:rsidRDefault="0099525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Unico nel suo genere, è il premio di architettura dedicato ai Committenti che nell’arco degli </w:t>
      </w:r>
      <w:r>
        <w:rPr>
          <w:b/>
          <w:bCs/>
          <w:sz w:val="20"/>
          <w:szCs w:val="20"/>
        </w:rPr>
        <w:t xml:space="preserve">ultimi </w:t>
      </w:r>
      <w:proofErr w:type="gramStart"/>
      <w:r>
        <w:rPr>
          <w:b/>
          <w:bCs/>
          <w:sz w:val="20"/>
          <w:szCs w:val="20"/>
        </w:rPr>
        <w:t>5</w:t>
      </w:r>
      <w:proofErr w:type="gramEnd"/>
      <w:r>
        <w:rPr>
          <w:b/>
          <w:bCs/>
          <w:sz w:val="20"/>
          <w:szCs w:val="20"/>
        </w:rPr>
        <w:t xml:space="preserve"> anni</w:t>
      </w:r>
      <w:r>
        <w:rPr>
          <w:sz w:val="20"/>
          <w:szCs w:val="20"/>
        </w:rPr>
        <w:t xml:space="preserve"> abbiano lavorato in sintonia con i propri architetti, riconoscendo il ruolo positivo e stimolante del Committente di Architettura e ponendo l’accento, oltre che sul processo progettuale e costruttivo, sulle figure che determinano il successo dell'opera: l'architetto e il committente, ma anche gli esecutori (le imprese) e i decisori (le pubbliche amministrazioni). </w:t>
      </w:r>
    </w:p>
    <w:p w:rsidR="003B49AA" w:rsidRDefault="003B49AA">
      <w:pPr>
        <w:spacing w:line="144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B49AA" w:rsidRDefault="0099525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Una giuria internazionale e multidisciplinare premierà </w:t>
      </w:r>
      <w:r>
        <w:rPr>
          <w:rFonts w:ascii="Times New Roman" w:hAnsi="Times New Roman"/>
          <w:b/>
          <w:bCs/>
          <w:sz w:val="20"/>
          <w:szCs w:val="20"/>
        </w:rPr>
        <w:t>committenti pubblici e privati</w:t>
      </w:r>
      <w:r>
        <w:rPr>
          <w:rFonts w:ascii="Times New Roman" w:hAnsi="Times New Roman"/>
          <w:sz w:val="20"/>
          <w:szCs w:val="20"/>
        </w:rPr>
        <w:t>, unitamente ai loro architetti, con particolare attenzione alla qualità dei progetti di pregio architettonico, urbanistico, dell’ambientale e sociale, rivolgendo una particolare atte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zione a temi quali la sostenibilità ambientale, economica e sociale dell’opera, le opere ispirate dal</w:t>
      </w:r>
      <w:r>
        <w:rPr>
          <w:rFonts w:ascii="Times New Roman" w:hAnsi="Times New Roman"/>
          <w:i/>
          <w:iCs/>
          <w:sz w:val="20"/>
          <w:szCs w:val="20"/>
        </w:rPr>
        <w:t xml:space="preserve"> Design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for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All</w:t>
      </w:r>
      <w:proofErr w:type="spellEnd"/>
      <w:r>
        <w:rPr>
          <w:rFonts w:ascii="Times New Roman" w:hAnsi="Times New Roman"/>
          <w:sz w:val="20"/>
          <w:szCs w:val="20"/>
        </w:rPr>
        <w:t>, il trattamento della luce naturale, l’uso sostenibile delle risorse, la valorizzazione e conservazione dell’ambiente, del paesaggio e del patrimonio arch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tettonico, l’uso di tecnologie e materiali innovativi, </w:t>
      </w:r>
      <w:proofErr w:type="gramStart"/>
      <w:r>
        <w:rPr>
          <w:rFonts w:ascii="Times New Roman" w:hAnsi="Times New Roman"/>
          <w:sz w:val="20"/>
          <w:szCs w:val="20"/>
        </w:rPr>
        <w:t>l’</w:t>
      </w:r>
      <w:proofErr w:type="gramEnd"/>
      <w:r>
        <w:rPr>
          <w:rFonts w:ascii="Times New Roman" w:hAnsi="Times New Roman"/>
          <w:sz w:val="20"/>
          <w:szCs w:val="20"/>
        </w:rPr>
        <w:t xml:space="preserve">uso di energie e risorse rinnovabili e la valorizzazione delle tradizioni e dei linguaggi locali. </w:t>
      </w:r>
    </w:p>
    <w:p w:rsidR="003B49AA" w:rsidRDefault="0099525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Uno spazio particolare è riservato alle giovani generazioni e agli architetti italiani </w:t>
      </w:r>
      <w:r>
        <w:rPr>
          <w:rFonts w:ascii="Times New Roman" w:hAnsi="Times New Roman"/>
          <w:i/>
          <w:iCs/>
          <w:sz w:val="20"/>
          <w:szCs w:val="20"/>
        </w:rPr>
        <w:t>under40</w:t>
      </w:r>
      <w:r>
        <w:rPr>
          <w:rFonts w:ascii="Times New Roman" w:hAnsi="Times New Roman"/>
          <w:sz w:val="20"/>
          <w:szCs w:val="20"/>
        </w:rPr>
        <w:t>, ai quali si offre un’occasione di confro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to internazionale.</w:t>
      </w:r>
    </w:p>
    <w:p w:rsidR="003B49AA" w:rsidRDefault="003B49AA">
      <w:pPr>
        <w:spacing w:line="12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B49AA" w:rsidRDefault="0099525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Dal 25 </w:t>
      </w:r>
      <w:proofErr w:type="gramStart"/>
      <w:r>
        <w:rPr>
          <w:rFonts w:ascii="Times New Roman" w:hAnsi="Times New Roman"/>
          <w:sz w:val="20"/>
          <w:szCs w:val="20"/>
        </w:rPr>
        <w:t>Febbraio</w:t>
      </w:r>
      <w:proofErr w:type="gramEnd"/>
      <w:r>
        <w:rPr>
          <w:rFonts w:ascii="Times New Roman" w:hAnsi="Times New Roman"/>
          <w:sz w:val="20"/>
          <w:szCs w:val="20"/>
        </w:rPr>
        <w:t xml:space="preserve"> 2019 al 25 Maggio 2019 sarà possibile iscriversi gratuitamente alla XI edizione completando il </w:t>
      </w:r>
      <w:proofErr w:type="spellStart"/>
      <w:r>
        <w:rPr>
          <w:rFonts w:ascii="Times New Roman" w:hAnsi="Times New Roman"/>
          <w:sz w:val="20"/>
          <w:szCs w:val="20"/>
        </w:rPr>
        <w:t>form</w:t>
      </w:r>
      <w:proofErr w:type="spellEnd"/>
      <w:r>
        <w:rPr>
          <w:rFonts w:ascii="Times New Roman" w:hAnsi="Times New Roman"/>
          <w:sz w:val="20"/>
          <w:szCs w:val="20"/>
        </w:rPr>
        <w:t xml:space="preserve"> online sul sito di Dedalo Minosse.</w:t>
      </w:r>
    </w:p>
    <w:p w:rsidR="003B49AA" w:rsidRDefault="003B49AA">
      <w:pPr>
        <w:spacing w:line="144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B49AA" w:rsidRDefault="0099525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Link</w:t>
      </w:r>
      <w:proofErr w:type="gramEnd"/>
      <w:r>
        <w:rPr>
          <w:rFonts w:ascii="Times New Roman" w:hAnsi="Times New Roman"/>
          <w:sz w:val="20"/>
          <w:szCs w:val="20"/>
        </w:rPr>
        <w:t>:</w:t>
      </w:r>
    </w:p>
    <w:p w:rsidR="003B49AA" w:rsidRDefault="0099525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Form</w:t>
      </w:r>
      <w:proofErr w:type="spellEnd"/>
      <w:r>
        <w:rPr>
          <w:rFonts w:ascii="Times New Roman" w:hAnsi="Times New Roman"/>
          <w:sz w:val="20"/>
          <w:szCs w:val="20"/>
        </w:rPr>
        <w:t xml:space="preserve"> online: </w:t>
      </w:r>
      <w:r w:rsidR="00635CEA" w:rsidRPr="00635CEA">
        <w:rPr>
          <w:rFonts w:ascii="Times New Roman" w:hAnsi="Times New Roman"/>
          <w:sz w:val="20"/>
          <w:szCs w:val="20"/>
        </w:rPr>
        <w:t>https://www.dedalominosse.org/ita/2019_iscrizione.php</w:t>
      </w:r>
    </w:p>
    <w:p w:rsidR="003B49AA" w:rsidRDefault="00C237E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Regolamento</w:t>
      </w:r>
      <w:r w:rsidR="0099525E">
        <w:rPr>
          <w:rFonts w:ascii="Times New Roman" w:hAnsi="Times New Roman"/>
          <w:sz w:val="20"/>
          <w:szCs w:val="20"/>
        </w:rPr>
        <w:t xml:space="preserve">: </w:t>
      </w:r>
      <w:r w:rsidRPr="00C237E6">
        <w:rPr>
          <w:rFonts w:ascii="Times New Roman" w:hAnsi="Times New Roman"/>
          <w:sz w:val="20"/>
          <w:szCs w:val="20"/>
        </w:rPr>
        <w:t>https://www.dedalominosse.org/doc/regolamento_18_19.pdf</w:t>
      </w:r>
    </w:p>
    <w:p w:rsidR="003B49AA" w:rsidRDefault="003B49A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B49AA" w:rsidRDefault="0099525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Date in evidenza:</w:t>
      </w:r>
    </w:p>
    <w:p w:rsidR="003B49AA" w:rsidRDefault="0099525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25 Febbraio 2019 - apertura iscrizioni</w:t>
      </w:r>
    </w:p>
    <w:p w:rsidR="003B49AA" w:rsidRDefault="0099525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25 maggio 2019 - chiusura anticipata delle iscrizioni (</w:t>
      </w:r>
      <w:proofErr w:type="gramStart"/>
      <w:r>
        <w:rPr>
          <w:rFonts w:ascii="Times New Roman" w:hAnsi="Times New Roman"/>
          <w:sz w:val="20"/>
          <w:szCs w:val="20"/>
        </w:rPr>
        <w:t>chiusura</w:t>
      </w:r>
      <w:proofErr w:type="gramEnd"/>
      <w:r>
        <w:rPr>
          <w:rFonts w:ascii="Times New Roman" w:hAnsi="Times New Roman"/>
          <w:sz w:val="20"/>
          <w:szCs w:val="20"/>
        </w:rPr>
        <w:t xml:space="preserve"> del </w:t>
      </w:r>
      <w:proofErr w:type="spellStart"/>
      <w:r>
        <w:rPr>
          <w:rFonts w:ascii="Times New Roman" w:hAnsi="Times New Roman"/>
          <w:sz w:val="20"/>
          <w:szCs w:val="20"/>
        </w:rPr>
        <w:t>form</w:t>
      </w:r>
      <w:proofErr w:type="spellEnd"/>
      <w:r>
        <w:rPr>
          <w:rFonts w:ascii="Times New Roman" w:hAnsi="Times New Roman"/>
          <w:sz w:val="20"/>
          <w:szCs w:val="20"/>
        </w:rPr>
        <w:t xml:space="preserve"> online)</w:t>
      </w:r>
    </w:p>
    <w:p w:rsidR="003B49AA" w:rsidRDefault="0099525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31 maggio 2019 - chiusura definitiva (ricezione ultimi materiali</w:t>
      </w:r>
      <w:proofErr w:type="gramStart"/>
      <w:r>
        <w:rPr>
          <w:rFonts w:ascii="Times New Roman" w:hAnsi="Times New Roman"/>
          <w:sz w:val="20"/>
          <w:szCs w:val="20"/>
        </w:rPr>
        <w:t>)</w:t>
      </w:r>
      <w:proofErr w:type="gramEnd"/>
    </w:p>
    <w:p w:rsidR="00F07263" w:rsidRDefault="004860C6">
      <w:pPr>
        <w:jc w:val="both"/>
        <w:rPr>
          <w:rFonts w:ascii="Times New Roman" w:hAnsi="Times New Roman"/>
          <w:b/>
          <w:bCs/>
          <w:sz w:val="20"/>
          <w:szCs w:val="20"/>
        </w:rPr>
      </w:pPr>
      <w:r w:rsidRPr="004860C6">
        <w:rPr>
          <w:rFonts w:ascii="Times New Roman" w:eastAsia="Times New Roman" w:hAnsi="Times New Roman" w:cs="Times New Roman"/>
          <w:sz w:val="20"/>
          <w:szCs w:val="20"/>
        </w:rPr>
        <w:pict>
          <v:group id="_x0000_s1026" style="position:absolute;left:0;text-align:left;margin-left:.1pt;margin-top:.55pt;width:539.9pt;height:171pt;z-index:251659264;mso-wrap-distance-left:12pt;mso-wrap-distance-top:12pt;mso-wrap-distance-right:12pt;mso-wrap-distance-bottom:12pt;mso-position-horizontal-relative:margin;mso-position-vertical-relative:line" coordsize="6856357,1907745">
            <v:rect id="_x0000_s1027" style="position:absolute;left:12700;top:12700;width:6830957;height:1882345" stroked="f" strokeweight=".8pt">
              <v:stroke joinstyle="round"/>
              <v:textbox>
                <w:txbxContent>
                  <w:p w:rsidR="003B49AA" w:rsidRDefault="003B49AA">
                    <w:pPr>
                      <w:spacing w:line="120" w:lineRule="auto"/>
                      <w:jc w:val="both"/>
                    </w:pPr>
                  </w:p>
                  <w:p w:rsidR="003B49AA" w:rsidRDefault="0099525E">
                    <w:pPr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Fra i premiati delle scorse edizioni: 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>i governi belga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>, danese, inglese, spagnolo, francese, italiano, tedesco; i comuni di A</w:t>
                    </w:r>
                    <w:r>
                      <w:rPr>
                        <w:sz w:val="20"/>
                        <w:szCs w:val="20"/>
                      </w:rPr>
                      <w:t>m</w:t>
                    </w:r>
                    <w:r>
                      <w:rPr>
                        <w:sz w:val="20"/>
                        <w:szCs w:val="20"/>
                      </w:rPr>
                      <w:t xml:space="preserve">sterdam, Innsbruck, Hiroshima, Londra, Barcellona, Roma, Napoli, Palermo,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Joannesburg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>, Kuala Lumpur, Berl</w:t>
                    </w:r>
                    <w:r>
                      <w:rPr>
                        <w:sz w:val="20"/>
                        <w:szCs w:val="20"/>
                      </w:rPr>
                      <w:t>i</w:t>
                    </w:r>
                    <w:r>
                      <w:rPr>
                        <w:sz w:val="20"/>
                        <w:szCs w:val="20"/>
                      </w:rPr>
                      <w:t xml:space="preserve">no,Birmingham,; istituzioni quali agenzie delle Nazioni Unite, l'Ente Spaziale Europeo, il National Trust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of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England,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Eme</w:t>
                    </w:r>
                    <w:r>
                      <w:rPr>
                        <w:sz w:val="20"/>
                        <w:szCs w:val="20"/>
                      </w:rPr>
                      <w:t>r</w:t>
                    </w:r>
                    <w:r>
                      <w:rPr>
                        <w:sz w:val="20"/>
                        <w:szCs w:val="20"/>
                      </w:rPr>
                      <w:t>gency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>, il WWF; le università di Detroit, Baltimora e Los Angeles, Cordoba, il Politecnico di Milano: aziende quali Porsche, Citroen, BMW, Ferrero, Benetton, Nestlè, Vodafone, Snaidero.</w:t>
                    </w:r>
                  </w:p>
                  <w:p w:rsidR="003B49AA" w:rsidRDefault="003B49AA">
                    <w:pPr>
                      <w:jc w:val="both"/>
                      <w:rPr>
                        <w:sz w:val="20"/>
                        <w:szCs w:val="20"/>
                      </w:rPr>
                    </w:pPr>
                  </w:p>
                  <w:p w:rsidR="003B49AA" w:rsidRDefault="0099525E">
                    <w:pPr>
                      <w:jc w:val="both"/>
                    </w:pPr>
                    <w:r>
                      <w:rPr>
                        <w:sz w:val="20"/>
                        <w:szCs w:val="20"/>
                      </w:rPr>
                      <w:t xml:space="preserve">Tra i 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progettist</w:t>
                    </w:r>
                    <w:r>
                      <w:rPr>
                        <w:sz w:val="20"/>
                        <w:szCs w:val="20"/>
                      </w:rPr>
                      <w:t xml:space="preserve">i che hanno partecipato nelle precedenti edizioni: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Gae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Aulenti, Campo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Baeza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, Mario Botta, Guido Canali, Massimiliano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Fuksas</w:t>
                    </w:r>
                    <w:proofErr w:type="spellEnd"/>
                    <w:proofErr w:type="gramStart"/>
                    <w:r>
                      <w:rPr>
                        <w:sz w:val="20"/>
                        <w:szCs w:val="20"/>
                      </w:rPr>
                      <w:t>,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 xml:space="preserve">Von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Gerkan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Marg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Und Partner,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Zaha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Hadid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,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Kisho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Kurokawa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,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Mecanoo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, Manfredi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Nicoletti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, Erik Owen Moss, Dominique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Perrault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, Paul de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Ruiter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,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Keisuke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Maeda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, mk27,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Waro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Kishi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, BIG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Bjarke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Ingels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Group, Piero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Sartogo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>, St</w:t>
                    </w:r>
                    <w:r>
                      <w:rPr>
                        <w:sz w:val="20"/>
                        <w:szCs w:val="20"/>
                      </w:rPr>
                      <w:t>u</w:t>
                    </w:r>
                    <w:r>
                      <w:rPr>
                        <w:sz w:val="20"/>
                        <w:szCs w:val="20"/>
                      </w:rPr>
                      <w:t xml:space="preserve">dio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Odile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Decq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, Oscar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Tusquets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,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Kengo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Kuma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, Claude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Vasconi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, Cino Zucchi, Philippe Prost, EDAA,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Lazzarini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Pickering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,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D</w:t>
                    </w:r>
                    <w:r>
                      <w:rPr>
                        <w:sz w:val="20"/>
                        <w:szCs w:val="20"/>
                      </w:rPr>
                      <w:t>e</w:t>
                    </w:r>
                    <w:r>
                      <w:rPr>
                        <w:sz w:val="20"/>
                        <w:szCs w:val="20"/>
                      </w:rPr>
                      <w:t>mogo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,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Ryuichi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Ashizawa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,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Schneider+Schumacker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, SET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Architects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, KAAN, C.F.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Møller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Architects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,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Auer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Weber, Emmanuelle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Moreaux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, TYIN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Tegnestue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,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Samyn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and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Partners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,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Satoshi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Okada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,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Keysuke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Kawaguchi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>,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Werner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Tscholl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, Siegfried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Delueg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,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Sti</w:t>
                    </w:r>
                    <w:r>
                      <w:rPr>
                        <w:sz w:val="20"/>
                        <w:szCs w:val="20"/>
                      </w:rPr>
                      <w:t>f</w:t>
                    </w:r>
                    <w:r>
                      <w:rPr>
                        <w:sz w:val="20"/>
                        <w:szCs w:val="20"/>
                      </w:rPr>
                      <w:t>ter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Bachmann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6856357;height:1907745">
              <v:imagedata r:id="rId4" o:title=""/>
            </v:shape>
            <w10:wrap anchorx="margin"/>
          </v:group>
        </w:pict>
      </w:r>
    </w:p>
    <w:p w:rsidR="00F07263" w:rsidRDefault="00F07263">
      <w:pPr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F07263" w:rsidRDefault="00F07263">
      <w:pPr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F07263" w:rsidRDefault="00F07263">
      <w:pPr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F07263" w:rsidRDefault="00F07263">
      <w:pPr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F07263" w:rsidRDefault="00F07263">
      <w:pPr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F07263" w:rsidRDefault="00F07263">
      <w:pPr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F07263" w:rsidRDefault="00F07263">
      <w:pPr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F07263" w:rsidRDefault="00F07263">
      <w:pPr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F07263" w:rsidRDefault="00F07263">
      <w:pPr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F07263" w:rsidRDefault="00F07263">
      <w:pPr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F07263" w:rsidRDefault="00F07263">
      <w:pPr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F07263" w:rsidRDefault="00F07263">
      <w:pPr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B49AA" w:rsidRDefault="003B49AA">
      <w:pPr>
        <w:spacing w:line="96" w:lineRule="auto"/>
        <w:jc w:val="both"/>
      </w:pPr>
    </w:p>
    <w:sectPr w:rsidR="003B49AA" w:rsidSect="003B49AA">
      <w:headerReference w:type="default" r:id="rId5"/>
      <w:footerReference w:type="default" r:id="rId6"/>
      <w:pgSz w:w="12240" w:h="15840"/>
      <w:pgMar w:top="993" w:right="758" w:bottom="851" w:left="851" w:header="708" w:footer="708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B4" w:rsidRDefault="00F736B4" w:rsidP="00891300">
    <w:pPr>
      <w:jc w:val="both"/>
      <w:rPr>
        <w:rFonts w:ascii="Times New Roman" w:hAnsi="Times New Roman"/>
        <w:b/>
        <w:bCs/>
        <w:sz w:val="16"/>
        <w:szCs w:val="20"/>
      </w:rPr>
    </w:pPr>
  </w:p>
  <w:p w:rsidR="00891300" w:rsidRPr="00F736B4" w:rsidRDefault="00891300" w:rsidP="00891300">
    <w:pPr>
      <w:jc w:val="both"/>
      <w:rPr>
        <w:rFonts w:ascii="Times New Roman" w:eastAsia="Times New Roman" w:hAnsi="Times New Roman" w:cs="Times New Roman"/>
        <w:b/>
        <w:bCs/>
        <w:sz w:val="16"/>
        <w:szCs w:val="20"/>
      </w:rPr>
    </w:pPr>
    <w:r w:rsidRPr="00F736B4">
      <w:rPr>
        <w:rFonts w:ascii="Times New Roman" w:hAnsi="Times New Roman"/>
        <w:b/>
        <w:bCs/>
        <w:sz w:val="16"/>
        <w:szCs w:val="20"/>
      </w:rPr>
      <w:t xml:space="preserve">Per informazioni: </w:t>
    </w:r>
  </w:p>
  <w:p w:rsidR="00891300" w:rsidRPr="00F736B4" w:rsidRDefault="00891300" w:rsidP="00891300">
    <w:pPr>
      <w:jc w:val="both"/>
      <w:rPr>
        <w:rFonts w:ascii="Times New Roman" w:eastAsia="Times New Roman" w:hAnsi="Times New Roman" w:cs="Times New Roman"/>
        <w:b/>
        <w:bCs/>
        <w:sz w:val="16"/>
        <w:szCs w:val="20"/>
      </w:rPr>
    </w:pPr>
    <w:r w:rsidRPr="00F736B4">
      <w:rPr>
        <w:rFonts w:ascii="Times New Roman" w:hAnsi="Times New Roman"/>
        <w:b/>
        <w:bCs/>
        <w:sz w:val="16"/>
        <w:szCs w:val="20"/>
      </w:rPr>
      <w:t xml:space="preserve">Segreteria Premio Dedalo Minosse </w:t>
    </w:r>
  </w:p>
  <w:p w:rsidR="00891300" w:rsidRPr="00F736B4" w:rsidRDefault="00891300" w:rsidP="00891300">
    <w:pPr>
      <w:jc w:val="both"/>
      <w:rPr>
        <w:rFonts w:ascii="Times New Roman" w:eastAsia="Times New Roman" w:hAnsi="Times New Roman" w:cs="Times New Roman"/>
        <w:sz w:val="16"/>
        <w:szCs w:val="20"/>
      </w:rPr>
    </w:pPr>
    <w:proofErr w:type="gramStart"/>
    <w:r w:rsidRPr="00F736B4">
      <w:rPr>
        <w:rFonts w:ascii="Times New Roman" w:hAnsi="Times New Roman"/>
        <w:sz w:val="16"/>
        <w:szCs w:val="20"/>
      </w:rPr>
      <w:t>telefono</w:t>
    </w:r>
    <w:proofErr w:type="gramEnd"/>
    <w:r w:rsidRPr="00F736B4">
      <w:rPr>
        <w:rFonts w:ascii="Times New Roman" w:hAnsi="Times New Roman"/>
        <w:sz w:val="16"/>
        <w:szCs w:val="20"/>
      </w:rPr>
      <w:t xml:space="preserve"> e fax: +39 (0)444 235476</w:t>
    </w:r>
  </w:p>
  <w:p w:rsidR="00891300" w:rsidRPr="00F736B4" w:rsidRDefault="004860C6" w:rsidP="00891300">
    <w:pPr>
      <w:jc w:val="both"/>
      <w:rPr>
        <w:rFonts w:ascii="Times New Roman" w:eastAsia="Times New Roman" w:hAnsi="Times New Roman" w:cs="Times New Roman"/>
        <w:sz w:val="16"/>
        <w:szCs w:val="20"/>
      </w:rPr>
    </w:pPr>
    <w:hyperlink r:id="rId1" w:history="1">
      <w:proofErr w:type="gramStart"/>
      <w:r w:rsidR="00891300" w:rsidRPr="00F736B4">
        <w:rPr>
          <w:rStyle w:val="Hyperlink0"/>
          <w:rFonts w:ascii="Times New Roman" w:hAnsi="Times New Roman"/>
          <w:sz w:val="16"/>
          <w:szCs w:val="20"/>
          <w:lang w:val="en-US"/>
        </w:rPr>
        <w:t>dedalominosse.org</w:t>
      </w:r>
      <w:proofErr w:type="gramEnd"/>
    </w:hyperlink>
    <w:r w:rsidR="00891300" w:rsidRPr="00F736B4">
      <w:rPr>
        <w:rFonts w:ascii="Times New Roman" w:hAnsi="Times New Roman"/>
        <w:sz w:val="16"/>
        <w:szCs w:val="20"/>
      </w:rPr>
      <w:t xml:space="preserve"> </w:t>
    </w:r>
  </w:p>
  <w:p w:rsidR="00891300" w:rsidRPr="00F736B4" w:rsidRDefault="004860C6" w:rsidP="00891300">
    <w:pPr>
      <w:jc w:val="both"/>
      <w:rPr>
        <w:rFonts w:ascii="Times New Roman" w:eastAsia="Times New Roman" w:hAnsi="Times New Roman" w:cs="Times New Roman"/>
        <w:sz w:val="16"/>
        <w:szCs w:val="20"/>
      </w:rPr>
    </w:pPr>
    <w:hyperlink r:id="rId2" w:history="1">
      <w:proofErr w:type="spellStart"/>
      <w:r w:rsidR="00891300" w:rsidRPr="00F736B4">
        <w:rPr>
          <w:rStyle w:val="Hyperlink0"/>
          <w:rFonts w:ascii="Times New Roman" w:hAnsi="Times New Roman"/>
          <w:sz w:val="16"/>
          <w:szCs w:val="20"/>
          <w:lang w:val="en-US"/>
        </w:rPr>
        <w:t>dedalominosse@assoarchitetti.it</w:t>
      </w:r>
      <w:proofErr w:type="spellEnd"/>
    </w:hyperlink>
  </w:p>
  <w:p w:rsidR="00891300" w:rsidRPr="00F736B4" w:rsidRDefault="00891300" w:rsidP="00891300">
    <w:pPr>
      <w:pStyle w:val="Pidipagina"/>
      <w:rPr>
        <w:sz w:val="16"/>
      </w:rPr>
    </w:pPr>
    <w:r w:rsidRPr="00F736B4">
      <w:rPr>
        <w:rFonts w:ascii="Times New Roman" w:hAnsi="Times New Roman"/>
        <w:sz w:val="16"/>
        <w:szCs w:val="20"/>
      </w:rPr>
      <w:t>Canali social</w:t>
    </w:r>
    <w:proofErr w:type="gramStart"/>
    <w:r w:rsidRPr="00F736B4">
      <w:rPr>
        <w:rFonts w:ascii="Times New Roman" w:hAnsi="Times New Roman"/>
        <w:sz w:val="16"/>
        <w:szCs w:val="20"/>
      </w:rPr>
      <w:t xml:space="preserve"> :</w:t>
    </w:r>
    <w:proofErr w:type="gramEnd"/>
    <w:r w:rsidRPr="00F736B4">
      <w:rPr>
        <w:rFonts w:ascii="Times New Roman" w:hAnsi="Times New Roman"/>
        <w:sz w:val="16"/>
        <w:szCs w:val="20"/>
      </w:rPr>
      <w:t xml:space="preserve"> @</w:t>
    </w:r>
    <w:proofErr w:type="spellStart"/>
    <w:r w:rsidRPr="00F736B4">
      <w:rPr>
        <w:rFonts w:ascii="Times New Roman" w:hAnsi="Times New Roman"/>
        <w:sz w:val="16"/>
        <w:szCs w:val="20"/>
      </w:rPr>
      <w:t>dedalominosse</w:t>
    </w:r>
    <w:proofErr w:type="spellEnd"/>
    <w:r w:rsidRPr="00F736B4">
      <w:rPr>
        <w:rFonts w:ascii="Times New Roman" w:hAnsi="Times New Roman"/>
        <w:sz w:val="16"/>
        <w:szCs w:val="20"/>
      </w:rPr>
      <w:t xml:space="preserve"> (FB)   </w:t>
    </w:r>
    <w:proofErr w:type="spellStart"/>
    <w:r w:rsidRPr="00F736B4">
      <w:rPr>
        <w:rFonts w:ascii="Times New Roman" w:hAnsi="Times New Roman"/>
        <w:sz w:val="16"/>
        <w:szCs w:val="20"/>
      </w:rPr>
      <w:t>dedalominosse</w:t>
    </w:r>
    <w:proofErr w:type="spellEnd"/>
    <w:r w:rsidRPr="00F736B4">
      <w:rPr>
        <w:rFonts w:ascii="Times New Roman" w:hAnsi="Times New Roman"/>
        <w:sz w:val="16"/>
        <w:szCs w:val="20"/>
      </w:rPr>
      <w:t xml:space="preserve"> (IG</w:t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9AA" w:rsidRDefault="0099525E">
    <w:pPr>
      <w:pStyle w:val="Intestazione"/>
      <w:jc w:val="center"/>
    </w:pPr>
    <w:r>
      <w:rPr>
        <w:noProof/>
      </w:rPr>
      <w:drawing>
        <wp:inline distT="0" distB="0" distL="0" distR="0">
          <wp:extent cx="4233677" cy="1270104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3677" cy="127010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revisionView w:formatting="0"/>
  <w:doNotTrackMoves/>
  <w:defaultTabStop w:val="720"/>
  <w:autoHyphenation/>
  <w:hyphenationZone w:val="283"/>
  <w:characterSpacingControl w:val="doNotCompress"/>
  <w:hdrShapeDefaults>
    <o:shapedefaults v:ext="edit" spidmax="2050"/>
  </w:hdrShapeDefaults>
  <w:compat/>
  <w:rsids>
    <w:rsidRoot w:val="003B49AA"/>
    <w:rsid w:val="003B49AA"/>
    <w:rsid w:val="004860C6"/>
    <w:rsid w:val="00635CEA"/>
    <w:rsid w:val="00757B97"/>
    <w:rsid w:val="00891300"/>
    <w:rsid w:val="008B7A94"/>
    <w:rsid w:val="0099525E"/>
    <w:rsid w:val="00C237E6"/>
    <w:rsid w:val="00F07263"/>
    <w:rsid w:val="00F736B4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B49AA"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character" w:styleId="Collegamentoipertestuale">
    <w:name w:val="Hyperlink"/>
    <w:rsid w:val="003B49AA"/>
    <w:rPr>
      <w:u w:val="single"/>
    </w:rPr>
  </w:style>
  <w:style w:type="table" w:customStyle="1" w:styleId="TableNormal">
    <w:name w:val="Table Normal"/>
    <w:rsid w:val="003B49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3B49AA"/>
    <w:pPr>
      <w:tabs>
        <w:tab w:val="center" w:pos="4819"/>
        <w:tab w:val="right" w:pos="9638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Intestazioneepidipagina">
    <w:name w:val="Intestazione e piè di pagina"/>
    <w:rsid w:val="003B49A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Collegamentoipertestuale"/>
    <w:rsid w:val="003B49AA"/>
    <w:rPr>
      <w:color w:val="0000FF"/>
      <w:u w:val="single" w:color="0000FF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952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rsid w:val="0099525E"/>
    <w:rPr>
      <w:rFonts w:ascii="Cambria" w:eastAsia="Cambria" w:hAnsi="Cambria" w:cs="Cambria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dedalominosse.org" TargetMode="External"/><Relationship Id="rId2" Type="http://schemas.openxmlformats.org/officeDocument/2006/relationships/hyperlink" Target="mailto:dedalominosse@assoarchitett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323</Words>
  <Characters>1842</Characters>
  <Application>Microsoft Macintosh Word</Application>
  <DocSecurity>0</DocSecurity>
  <Lines>15</Lines>
  <Paragraphs>3</Paragraphs>
  <ScaleCrop>false</ScaleCrop>
  <Company>ALA Assoarchitetti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Michela</cp:lastModifiedBy>
  <cp:revision>8</cp:revision>
  <dcterms:created xsi:type="dcterms:W3CDTF">2019-02-22T14:52:00Z</dcterms:created>
  <dcterms:modified xsi:type="dcterms:W3CDTF">2019-03-01T11:42:00Z</dcterms:modified>
</cp:coreProperties>
</file>